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26-325</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subrule 2506.3(3)</w:t>
      </w:r>
    </w:p>
    <w:p>
      <w:pPr>
        <w:spacing w:before="0" w:after="0" w:line="480"/>
        <w:ind w:left="120"/>
        <w:jc w:val="center"/>
      </w:pPr>
      <w:r>
        <w:rPr>
          <w:rFonts w:ascii="Times New Roman" w:hAnsi="Times New Roman"/>
          <w:b w:val="false"/>
          <w:i w:val="false"/>
          <w:color w:val="000000"/>
          <w:sz w:val="24"/>
        </w:rPr>
        <w:t>“Contested Cases”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321.89</w:t>
      </w:r>
    </w:p>
    <w:p>
      <w:pPr>
        <w:spacing w:before="0" w:after="0" w:line="480"/>
        <w:ind w:left="120"/>
        <w:jc w:val="both"/>
      </w:pPr>
      <w:r>
        <w:rPr>
          <w:rFonts w:ascii="Times New Roman" w:hAnsi="Times New Roman"/>
          <w:b w:val="false"/>
          <w:i w:val="false"/>
          <w:color w:val="000000"/>
          <w:sz w:val="24"/>
        </w:rPr>
        <w:t>State or federal law(s) implemented by the rulemaking: Iowa Code section 321.89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 to 10:30 a.m.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530 737 495#</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Ryan Pell</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Ames, Iowa 50010</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modify the language from the emergency rulemaking under 761—Chapter 2506 published in response to 2026 Iowa Acts, Senate File 2463, for additional clarity.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amendment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subject to contested case procedures will benefit from the typographical corrections.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The proposed amendment aligns the rules with the new notification time frame set forth in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rule amendment, which is to conform with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beyond those of the underlying statute.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2506.3(3)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2506.3(3)</w:t>
      </w:r>
      <w:r>
        <w:rPr>
          <w:rFonts w:ascii="Times New Roman" w:hAnsi="Times New Roman"/>
          <w:b w:val="false"/>
          <w:i w:val="false"/>
          <w:color w:val="000000"/>
          <w:sz w:val="24"/>
        </w:rPr>
        <w:t> </w:t>
      </w:r>
      <w:r>
        <w:rPr>
          <w:rFonts w:ascii="Times New Roman" w:hAnsi="Times New Roman"/>
          <w:b w:val="false"/>
          <w:i w:val="false"/>
          <w:color w:val="000000"/>
          <w:sz w:val="24"/>
        </w:rPr>
        <w:t xml:space="preserve">In lieu of the requirements set forth in this chapter, these requirements shall be construed </w:t>
      </w:r>
      <w:r>
        <w:rPr>
          <w:rFonts w:ascii="Times New Roman" w:hAnsi="Times New Roman"/>
          <w:b w:val="false"/>
          <w:i w:val="false"/>
          <w:strike/>
          <w:color w:val="000000"/>
          <w:sz w:val="24"/>
        </w:rPr>
        <w:t>to supersede or constrain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preserving and leaving intact</w:t>
      </w:r>
      <w:r>
        <w:rPr>
          <w:rFonts w:ascii="Times New Roman" w:hAnsi="Times New Roman"/>
          <w:b w:val="false"/>
          <w:i w:val="false"/>
          <w:color w:val="000000"/>
          <w:sz w:val="24"/>
        </w:rPr>
        <w:t xml:space="preserve"> the required time frames in which a person must file an appeal request found in rules </w:t>
      </w:r>
      <w:hyperlink r:id="rId6">
        <w:r>
          <w:rPr>
            <w:rStyle w:val="Hyperlink"/>
            <w:rFonts w:ascii="Times New Roman" w:hAnsi="Times New Roman"/>
            <w:b w:val="false"/>
            <w:i w:val="false"/>
            <w:color w:val="000000"/>
            <w:sz w:val="24"/>
          </w:rPr>
          <w:t>761—400.44</w:t>
        </w:r>
      </w:hyperlink>
      <w:r>
        <w:rPr>
          <w:rFonts w:ascii="Times New Roman" w:hAnsi="Times New Roman"/>
          <w:b w:val="false"/>
          <w:i w:val="false"/>
          <w:color w:val="000000"/>
          <w:sz w:val="24"/>
        </w:rPr>
        <w:t xml:space="preserve">(17A,321), </w:t>
      </w:r>
      <w:hyperlink r:id="rId7">
        <w:r>
          <w:rPr>
            <w:rStyle w:val="Hyperlink"/>
            <w:rFonts w:ascii="Times New Roman" w:hAnsi="Times New Roman"/>
            <w:b w:val="false"/>
            <w:i w:val="false"/>
            <w:color w:val="000000"/>
            <w:sz w:val="24"/>
          </w:rPr>
          <w:t>761—401.9</w:t>
        </w:r>
      </w:hyperlink>
      <w:r>
        <w:rPr>
          <w:rFonts w:ascii="Times New Roman" w:hAnsi="Times New Roman"/>
          <w:b w:val="false"/>
          <w:i w:val="false"/>
          <w:color w:val="000000"/>
          <w:sz w:val="24"/>
        </w:rPr>
        <w:t xml:space="preserve">(17A,307,321), </w:t>
      </w:r>
      <w:hyperlink r:id="rId8">
        <w:r>
          <w:rPr>
            <w:rStyle w:val="Hyperlink"/>
            <w:rFonts w:ascii="Times New Roman" w:hAnsi="Times New Roman"/>
            <w:b w:val="false"/>
            <w:i w:val="false"/>
            <w:color w:val="000000"/>
            <w:sz w:val="24"/>
          </w:rPr>
          <w:t>761—411.6</w:t>
        </w:r>
      </w:hyperlink>
      <w:r>
        <w:rPr>
          <w:rFonts w:ascii="Times New Roman" w:hAnsi="Times New Roman"/>
          <w:b w:val="false"/>
          <w:i w:val="false"/>
          <w:color w:val="000000"/>
          <w:sz w:val="24"/>
        </w:rPr>
        <w:t xml:space="preserve">(17A,321,321L), </w:t>
      </w:r>
      <w:hyperlink r:id="rId9">
        <w:r>
          <w:rPr>
            <w:rStyle w:val="Hyperlink"/>
            <w:rFonts w:ascii="Times New Roman" w:hAnsi="Times New Roman"/>
            <w:b w:val="false"/>
            <w:i w:val="false"/>
            <w:color w:val="000000"/>
            <w:sz w:val="24"/>
          </w:rPr>
          <w:t>761—505.6</w:t>
        </w:r>
      </w:hyperlink>
      <w:r>
        <w:rPr>
          <w:rFonts w:ascii="Times New Roman" w:hAnsi="Times New Roman"/>
          <w:b w:val="false"/>
          <w:i w:val="false"/>
          <w:color w:val="000000"/>
          <w:sz w:val="24"/>
        </w:rPr>
        <w:t xml:space="preserve">(452A), </w:t>
      </w:r>
      <w:hyperlink r:id="rId10">
        <w:r>
          <w:rPr>
            <w:rStyle w:val="Hyperlink"/>
            <w:rFonts w:ascii="Times New Roman" w:hAnsi="Times New Roman"/>
            <w:b w:val="false"/>
            <w:i w:val="false"/>
            <w:color w:val="000000"/>
            <w:sz w:val="24"/>
          </w:rPr>
          <w:t>761—524.14</w:t>
        </w:r>
      </w:hyperlink>
      <w:r>
        <w:rPr>
          <w:rFonts w:ascii="Times New Roman" w:hAnsi="Times New Roman"/>
          <w:b w:val="false"/>
          <w:i w:val="false"/>
          <w:color w:val="000000"/>
          <w:sz w:val="24"/>
        </w:rPr>
        <w:t xml:space="preserve">(325A) and </w:t>
      </w:r>
      <w:hyperlink r:id="rId11">
        <w:r>
          <w:rPr>
            <w:rStyle w:val="Hyperlink"/>
            <w:rFonts w:ascii="Times New Roman" w:hAnsi="Times New Roman"/>
            <w:b w:val="false"/>
            <w:i w:val="false"/>
            <w:color w:val="000000"/>
            <w:sz w:val="24"/>
          </w:rPr>
          <w:t>761—540.8</w:t>
        </w:r>
      </w:hyperlink>
      <w:r>
        <w:rPr>
          <w:rFonts w:ascii="Times New Roman" w:hAnsi="Times New Roman"/>
          <w:b w:val="false"/>
          <w:i w:val="false"/>
          <w:color w:val="000000"/>
          <w:sz w:val="24"/>
        </w:rPr>
        <w:t xml:space="preserve">(321N); 761—subrules </w:t>
      </w:r>
      <w:hyperlink r:id="rId12">
        <w:r>
          <w:rPr>
            <w:rStyle w:val="Hyperlink"/>
            <w:rFonts w:ascii="Times New Roman" w:hAnsi="Times New Roman"/>
            <w:b w:val="false"/>
            <w:i w:val="false"/>
            <w:color w:val="000000"/>
            <w:sz w:val="24"/>
          </w:rPr>
          <w:t>425.17(5)</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431.4(3)</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451.4(3)</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761—paragraph 601.4(8)</w:t>
        </w:r>
      </w:hyperlink>
      <w:r>
        <w:rPr>
          <w:rFonts w:ascii="Times New Roman" w:hAnsi="Times New Roman"/>
          <w:b w:val="false"/>
          <w:i/>
          <w:color w:val="000000"/>
          <w:sz w:val="24"/>
        </w:rPr>
        <w:t>“h.”</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97794872332682?p=GQ4LD7zPL0XToEceSX" Type="http://schemas.openxmlformats.org/officeDocument/2006/relationships/hyperlink" Id="rId4"/>
    <Relationship TargetMode="External" Target="mailto:ryan.pell@iowadot.us" Type="http://schemas.openxmlformats.org/officeDocument/2006/relationships/hyperlink" Id="rId5"/>
    <Relationship TargetMode="External" Target="https://www.legis.iowa.gov/docs/iac/rule/761.400.44.pdf" Type="http://schemas.openxmlformats.org/officeDocument/2006/relationships/hyperlink" Id="rId6"/>
    <Relationship TargetMode="External" Target="https://www.legis.iowa.gov/docs/iac/rule/761.401.9.pdf" Type="http://schemas.openxmlformats.org/officeDocument/2006/relationships/hyperlink" Id="rId7"/>
    <Relationship TargetMode="External" Target="https://www.legis.iowa.gov/docs/iac/rule/761.411.6.pdf" Type="http://schemas.openxmlformats.org/officeDocument/2006/relationships/hyperlink" Id="rId8"/>
    <Relationship TargetMode="External" Target="https://www.legis.iowa.gov/docs/iac/rule/761.505.6.pdf" Type="http://schemas.openxmlformats.org/officeDocument/2006/relationships/hyperlink" Id="rId9"/>
    <Relationship TargetMode="External" Target="https://www.legis.iowa.gov/docs/iac/rule/761.524.14.pdf" Type="http://schemas.openxmlformats.org/officeDocument/2006/relationships/hyperlink" Id="rId10"/>
    <Relationship TargetMode="External" Target="https://www.legis.iowa.gov/docs/iac/rule/761.540.8.pdf" Type="http://schemas.openxmlformats.org/officeDocument/2006/relationships/hyperlink" Id="rId11"/>
    <Relationship TargetMode="External" Target="https://www.legis.iowa.gov/docs/iac/rule/761.425.17.pdf" Type="http://schemas.openxmlformats.org/officeDocument/2006/relationships/hyperlink" Id="rId12"/>
    <Relationship TargetMode="External" Target="https://www.legis.iowa.gov/docs/iac/rule/761.431.4.pdf" Type="http://schemas.openxmlformats.org/officeDocument/2006/relationships/hyperlink" Id="rId13"/>
    <Relationship TargetMode="External" Target="https://www.legis.iowa.gov/docs/iac/rule/761.451.4.pdf" Type="http://schemas.openxmlformats.org/officeDocument/2006/relationships/hyperlink" Id="rId14"/>
    <Relationship TargetMode="External" Target="https://www.legis.iowa.gov/docs/iac/rule/761.601.4.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